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458FF" w14:textId="146CB086" w:rsidR="008A5796" w:rsidRDefault="003733AD" w:rsidP="00E0201A">
      <w:pPr>
        <w:spacing w:line="276" w:lineRule="auto"/>
        <w:jc w:val="center"/>
        <w:rPr>
          <w:lang w:val="el-GR"/>
        </w:rPr>
      </w:pPr>
      <w:r>
        <w:rPr>
          <w:noProof/>
        </w:rPr>
        <w:drawing>
          <wp:inline distT="0" distB="0" distL="0" distR="0" wp14:anchorId="28BCCDE3" wp14:editId="1543A929">
            <wp:extent cx="3459480" cy="762000"/>
            <wp:effectExtent l="0" t="0" r="7620" b="0"/>
            <wp:docPr id="838160487" name="Picture 1" descr="A picture containing text,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60487" name="Picture 1" descr="A picture containing text, font, screenshot&#10;&#10;Description automatically generated"/>
                    <pic:cNvPicPr/>
                  </pic:nvPicPr>
                  <pic:blipFill>
                    <a:blip r:embed="rId4"/>
                    <a:stretch>
                      <a:fillRect/>
                    </a:stretch>
                  </pic:blipFill>
                  <pic:spPr>
                    <a:xfrm>
                      <a:off x="0" y="0"/>
                      <a:ext cx="3459480" cy="762000"/>
                    </a:xfrm>
                    <a:prstGeom prst="rect">
                      <a:avLst/>
                    </a:prstGeom>
                  </pic:spPr>
                </pic:pic>
              </a:graphicData>
            </a:graphic>
          </wp:inline>
        </w:drawing>
      </w:r>
    </w:p>
    <w:p w14:paraId="48EE85A7" w14:textId="6F2E73FB" w:rsidR="001005B9" w:rsidRDefault="00D234FC" w:rsidP="00263D96">
      <w:pPr>
        <w:spacing w:line="240" w:lineRule="auto"/>
        <w:jc w:val="right"/>
        <w:rPr>
          <w:lang w:val="el-GR"/>
        </w:rPr>
      </w:pPr>
      <w:r>
        <w:rPr>
          <w:lang w:val="el-GR"/>
        </w:rPr>
        <w:t>Δευτέρα, 29 Μαΐου 2023</w:t>
      </w:r>
    </w:p>
    <w:p w14:paraId="1ECC9090" w14:textId="441669DA" w:rsidR="00D234FC" w:rsidRDefault="00D234FC" w:rsidP="00263D96">
      <w:pPr>
        <w:spacing w:line="240" w:lineRule="auto"/>
        <w:jc w:val="center"/>
        <w:rPr>
          <w:b/>
          <w:bCs/>
          <w:lang w:val="el-GR"/>
        </w:rPr>
      </w:pPr>
      <w:r>
        <w:rPr>
          <w:b/>
          <w:bCs/>
          <w:lang w:val="el-GR"/>
        </w:rPr>
        <w:t>ΔΕΛΤΙΟ ΤΥΠΟΥ</w:t>
      </w:r>
    </w:p>
    <w:p w14:paraId="144D8EA0" w14:textId="4B8D4102" w:rsidR="00D234FC" w:rsidRDefault="00D234FC" w:rsidP="00263D96">
      <w:pPr>
        <w:spacing w:line="240" w:lineRule="auto"/>
        <w:jc w:val="center"/>
        <w:rPr>
          <w:b/>
          <w:bCs/>
          <w:lang w:val="el-GR"/>
        </w:rPr>
      </w:pPr>
      <w:r>
        <w:rPr>
          <w:b/>
          <w:bCs/>
          <w:lang w:val="el-GR"/>
        </w:rPr>
        <w:t xml:space="preserve">ΤΑΙΠΕΔ: </w:t>
      </w:r>
      <w:r w:rsidR="00AA381B">
        <w:rPr>
          <w:b/>
          <w:bCs/>
          <w:lang w:val="el-GR"/>
        </w:rPr>
        <w:t>Σε εξέλιξη διαγωνισμοί ύψους 144,2 εκατ. ευρώ για την αναβάθμιση των υποδομών του Εθνικού Συστήματος Υγείας</w:t>
      </w:r>
    </w:p>
    <w:p w14:paraId="5AF1E939" w14:textId="62C1F3E7" w:rsidR="00E10DA9" w:rsidRPr="00E10DA9" w:rsidRDefault="0078282A" w:rsidP="00263D96">
      <w:pPr>
        <w:spacing w:line="240" w:lineRule="auto"/>
        <w:jc w:val="center"/>
        <w:rPr>
          <w:i/>
          <w:iCs/>
          <w:lang w:val="el-GR"/>
        </w:rPr>
      </w:pPr>
      <w:r>
        <w:rPr>
          <w:i/>
          <w:iCs/>
          <w:lang w:val="el-GR"/>
        </w:rPr>
        <w:t xml:space="preserve">Το επόμενο διάστημα ξεκινούν </w:t>
      </w:r>
      <w:r w:rsidR="00E10DA9" w:rsidRPr="00E10DA9">
        <w:rPr>
          <w:i/>
          <w:iCs/>
          <w:lang w:val="el-GR"/>
        </w:rPr>
        <w:t>νέοι διαγωνισμοί ύψους 81,8 εκατ. ευρώ</w:t>
      </w:r>
    </w:p>
    <w:p w14:paraId="74D37B10" w14:textId="77777777" w:rsidR="00E10DA9" w:rsidRPr="00AA32B7" w:rsidRDefault="00E10DA9" w:rsidP="00263D96">
      <w:pPr>
        <w:spacing w:line="240" w:lineRule="auto"/>
        <w:jc w:val="both"/>
        <w:rPr>
          <w:lang w:val="el-GR"/>
        </w:rPr>
      </w:pPr>
    </w:p>
    <w:p w14:paraId="7D21BB75" w14:textId="51AC9F58" w:rsidR="00AA381B" w:rsidRDefault="00AA381B" w:rsidP="00263D96">
      <w:pPr>
        <w:spacing w:line="240" w:lineRule="auto"/>
        <w:jc w:val="both"/>
        <w:rPr>
          <w:lang w:val="el-GR"/>
        </w:rPr>
      </w:pPr>
      <w:r>
        <w:rPr>
          <w:lang w:val="el-GR"/>
        </w:rPr>
        <w:t>Το ΤΑΙΠΕΔ, εταιρεία μέλος του Υπερταμείου, ανακοινώνει ότι από τις αρχές του έτους η Μονάδα Συμβάσεων Στρατηγικής Σημασίας</w:t>
      </w:r>
      <w:r w:rsidR="00F84943">
        <w:rPr>
          <w:lang w:val="el-GR"/>
        </w:rPr>
        <w:t xml:space="preserve"> (</w:t>
      </w:r>
      <w:r w:rsidR="00F84943">
        <w:t>PPF</w:t>
      </w:r>
      <w:r w:rsidR="00F84943" w:rsidRPr="00F84943">
        <w:rPr>
          <w:lang w:val="el-GR"/>
        </w:rPr>
        <w:t>)</w:t>
      </w:r>
      <w:r>
        <w:rPr>
          <w:lang w:val="el-GR"/>
        </w:rPr>
        <w:t xml:space="preserve"> του Ταμείου</w:t>
      </w:r>
      <w:r w:rsidR="00DE04E1">
        <w:rPr>
          <w:lang w:val="el-GR"/>
        </w:rPr>
        <w:t>, σε συνεργασία με το Υπουργείο Υγείας και τις αρμόδιες Υγειονομικές Περιφέρειες,</w:t>
      </w:r>
      <w:r>
        <w:rPr>
          <w:lang w:val="el-GR"/>
        </w:rPr>
        <w:t xml:space="preserve"> </w:t>
      </w:r>
      <w:r w:rsidR="00F84943">
        <w:rPr>
          <w:lang w:val="el-GR"/>
        </w:rPr>
        <w:t>υλοποιεί</w:t>
      </w:r>
      <w:r>
        <w:rPr>
          <w:lang w:val="el-GR"/>
        </w:rPr>
        <w:t xml:space="preserve"> </w:t>
      </w:r>
      <w:r w:rsidR="00F84943">
        <w:rPr>
          <w:lang w:val="el-GR"/>
        </w:rPr>
        <w:t xml:space="preserve">συνολικά </w:t>
      </w:r>
      <w:r>
        <w:rPr>
          <w:lang w:val="el-GR"/>
        </w:rPr>
        <w:t>28 διαγωνισμούς με προϋπολογισμό 144,2 εκατ. ευρώ</w:t>
      </w:r>
      <w:r w:rsidR="00BF77D2">
        <w:rPr>
          <w:lang w:val="el-GR"/>
        </w:rPr>
        <w:t xml:space="preserve"> πλέον ΦΠΑ</w:t>
      </w:r>
      <w:r>
        <w:rPr>
          <w:lang w:val="el-GR"/>
        </w:rPr>
        <w:t xml:space="preserve"> για την </w:t>
      </w:r>
      <w:r w:rsidR="00F84943">
        <w:rPr>
          <w:lang w:val="el-GR"/>
        </w:rPr>
        <w:t>αναβάθμιση των υποδομών σε 28 Νοσοκομεία, 57 Κέντρα Υγείας και τρία (3) Πολυδύναμα Περιφερειακά Ιατρεία</w:t>
      </w:r>
      <w:r w:rsidR="00032C80">
        <w:rPr>
          <w:lang w:val="el-GR"/>
        </w:rPr>
        <w:t xml:space="preserve"> (ΠΠΙ)</w:t>
      </w:r>
      <w:r w:rsidR="00F84943">
        <w:rPr>
          <w:lang w:val="el-GR"/>
        </w:rPr>
        <w:t xml:space="preserve"> σε ολόκληρη την Επικράτεια.  </w:t>
      </w:r>
    </w:p>
    <w:p w14:paraId="456E5769" w14:textId="6E41581B" w:rsidR="00D234FC" w:rsidRDefault="00F84943" w:rsidP="00263D96">
      <w:pPr>
        <w:spacing w:line="240" w:lineRule="auto"/>
        <w:jc w:val="both"/>
        <w:rPr>
          <w:lang w:val="el-GR"/>
        </w:rPr>
      </w:pPr>
      <w:r>
        <w:rPr>
          <w:lang w:val="el-GR"/>
        </w:rPr>
        <w:t xml:space="preserve">Ειδικότερα, </w:t>
      </w:r>
      <w:r w:rsidR="009B3CE3">
        <w:rPr>
          <w:lang w:val="el-GR"/>
        </w:rPr>
        <w:t>οι διαγωνιστικές διαδικασίες που είναι σε εξέλιξη για την αναβάθμιση των εγκαταστάσεων Νοσοκομείων έχουν προϋπολογισμό 63,8 εκατ. ευρώ, ενώ εκείνοι που αφορούν στον εκσυγχρονισμό των Κέντρων Υγείας και των Περιφερειακών Πολυδύναμων Ιατρείων σε 80,4</w:t>
      </w:r>
      <w:r w:rsidR="00E10DA9">
        <w:rPr>
          <w:lang w:val="el-GR"/>
        </w:rPr>
        <w:t xml:space="preserve"> </w:t>
      </w:r>
      <w:r w:rsidR="009B3CE3">
        <w:rPr>
          <w:lang w:val="el-GR"/>
        </w:rPr>
        <w:t xml:space="preserve">εκατ. ευρώ. </w:t>
      </w:r>
      <w:r w:rsidR="00BF7FBD">
        <w:rPr>
          <w:lang w:val="el-GR"/>
        </w:rPr>
        <w:t>Άμεσα θα εκκινήσουν</w:t>
      </w:r>
      <w:r w:rsidR="00DE04E1">
        <w:rPr>
          <w:lang w:val="el-GR"/>
        </w:rPr>
        <w:t xml:space="preserve"> νέ</w:t>
      </w:r>
      <w:r w:rsidR="00BF7FBD">
        <w:rPr>
          <w:lang w:val="el-GR"/>
        </w:rPr>
        <w:t>οι</w:t>
      </w:r>
      <w:r w:rsidR="00DE04E1">
        <w:rPr>
          <w:lang w:val="el-GR"/>
        </w:rPr>
        <w:t xml:space="preserve"> διαγωνισμ</w:t>
      </w:r>
      <w:r w:rsidR="00BF7FBD">
        <w:rPr>
          <w:lang w:val="el-GR"/>
        </w:rPr>
        <w:t>οί</w:t>
      </w:r>
      <w:r w:rsidR="00DE04E1">
        <w:rPr>
          <w:lang w:val="el-GR"/>
        </w:rPr>
        <w:t xml:space="preserve"> από το </w:t>
      </w:r>
      <w:r w:rsidR="00DE04E1">
        <w:t>PPF</w:t>
      </w:r>
      <w:r w:rsidR="00DE04E1" w:rsidRPr="00DE04E1">
        <w:rPr>
          <w:lang w:val="el-GR"/>
        </w:rPr>
        <w:t xml:space="preserve"> </w:t>
      </w:r>
      <w:r w:rsidR="00DE04E1">
        <w:rPr>
          <w:lang w:val="el-GR"/>
        </w:rPr>
        <w:t xml:space="preserve">για την ανακαίνιση εννέα (9) Νοσοκομείων, 45 Κέντρων Υγείας και ενός (1) </w:t>
      </w:r>
      <w:r w:rsidR="00032C80">
        <w:rPr>
          <w:lang w:val="el-GR"/>
        </w:rPr>
        <w:t>ΠΠΙ</w:t>
      </w:r>
      <w:r w:rsidR="00DE04E1">
        <w:rPr>
          <w:lang w:val="el-GR"/>
        </w:rPr>
        <w:t xml:space="preserve">, </w:t>
      </w:r>
      <w:r w:rsidR="00BA54E8">
        <w:rPr>
          <w:lang w:val="el-GR"/>
        </w:rPr>
        <w:t>συνολικού προϋπολογισμού 81,8 εκατ. ευρώ</w:t>
      </w:r>
      <w:r w:rsidR="008963E4">
        <w:rPr>
          <w:lang w:val="el-GR"/>
        </w:rPr>
        <w:t>, ενώ</w:t>
      </w:r>
      <w:r w:rsidR="00BA54E8">
        <w:rPr>
          <w:lang w:val="el-GR"/>
        </w:rPr>
        <w:t xml:space="preserve"> </w:t>
      </w:r>
      <w:r w:rsidR="008963E4">
        <w:rPr>
          <w:lang w:val="el-GR"/>
        </w:rPr>
        <w:t>τ</w:t>
      </w:r>
      <w:r w:rsidR="009B13DC">
        <w:rPr>
          <w:lang w:val="el-GR"/>
        </w:rPr>
        <w:t>ο</w:t>
      </w:r>
      <w:r w:rsidR="00AA32B7">
        <w:rPr>
          <w:lang w:val="el-GR"/>
        </w:rPr>
        <w:t xml:space="preserve"> επόμενο διάστημα το ΤΑΙΠΕΔ αναμένεται να δημοσιεύσει δεκάδες νέους διαγωνισμούς για την </w:t>
      </w:r>
      <w:r w:rsidR="008963E4">
        <w:rPr>
          <w:lang w:val="el-GR"/>
        </w:rPr>
        <w:t xml:space="preserve">αναβάθμιση </w:t>
      </w:r>
      <w:r w:rsidR="00AA32B7">
        <w:rPr>
          <w:lang w:val="el-GR"/>
        </w:rPr>
        <w:t xml:space="preserve">των εγκαταστάσεων σε πάνω από 40 Νοσοκομεία και 50 Κέντρα Υγείας και ΠΠΙ, πολλά εκ των οποίων βρίσκονται σε νησιά και σε ακριτικές περιοχές. Συνολικά, </w:t>
      </w:r>
      <w:r w:rsidR="007530DC">
        <w:rPr>
          <w:lang w:val="el-GR"/>
        </w:rPr>
        <w:t xml:space="preserve">το Ταμείο έχει αναλάβει </w:t>
      </w:r>
      <w:r w:rsidR="004E1059">
        <w:rPr>
          <w:lang w:val="el-GR"/>
        </w:rPr>
        <w:t xml:space="preserve">έως τώρα </w:t>
      </w:r>
      <w:r w:rsidR="007530DC">
        <w:rPr>
          <w:lang w:val="el-GR"/>
        </w:rPr>
        <w:t>να δημοπρατήσει έργα σε</w:t>
      </w:r>
      <w:r w:rsidR="00A6542A">
        <w:rPr>
          <w:lang w:val="el-GR"/>
        </w:rPr>
        <w:t xml:space="preserve"> 96</w:t>
      </w:r>
      <w:r w:rsidR="00AA32B7">
        <w:rPr>
          <w:lang w:val="el-GR"/>
        </w:rPr>
        <w:t xml:space="preserve"> Νοσοκομεία και </w:t>
      </w:r>
      <w:r w:rsidR="00A6542A">
        <w:rPr>
          <w:lang w:val="el-GR"/>
        </w:rPr>
        <w:t xml:space="preserve">περισσότερα από </w:t>
      </w:r>
      <w:r w:rsidR="00AA32B7">
        <w:rPr>
          <w:lang w:val="el-GR"/>
        </w:rPr>
        <w:t>150 Κέντρα Υγείας και ΠΠΙ</w:t>
      </w:r>
      <w:r w:rsidR="009B13DC">
        <w:rPr>
          <w:lang w:val="el-GR"/>
        </w:rPr>
        <w:t xml:space="preserve"> με </w:t>
      </w:r>
      <w:r w:rsidR="00AA32B7">
        <w:rPr>
          <w:lang w:val="el-GR"/>
        </w:rPr>
        <w:t>προϋπολογισμ</w:t>
      </w:r>
      <w:r w:rsidR="009B13DC">
        <w:rPr>
          <w:lang w:val="el-GR"/>
        </w:rPr>
        <w:t>ό</w:t>
      </w:r>
      <w:r w:rsidR="00AA32B7">
        <w:rPr>
          <w:lang w:val="el-GR"/>
        </w:rPr>
        <w:t xml:space="preserve"> 453 εκατ. ευρώ.  </w:t>
      </w:r>
    </w:p>
    <w:p w14:paraId="3BFB196B" w14:textId="3CB86FB1" w:rsidR="002962CA" w:rsidRDefault="00BA54E8" w:rsidP="00A6542A">
      <w:pPr>
        <w:spacing w:line="240" w:lineRule="auto"/>
        <w:jc w:val="both"/>
        <w:rPr>
          <w:lang w:val="el-GR"/>
        </w:rPr>
      </w:pPr>
      <w:r>
        <w:rPr>
          <w:lang w:val="el-GR"/>
        </w:rPr>
        <w:t>Τα έργα αφορούν, μεταξύ άλλων, στην ανέγερση κτιρίων για τη</w:t>
      </w:r>
      <w:r w:rsidR="002962CA">
        <w:rPr>
          <w:lang w:val="el-GR"/>
        </w:rPr>
        <w:t>ν</w:t>
      </w:r>
      <w:r>
        <w:rPr>
          <w:lang w:val="el-GR"/>
        </w:rPr>
        <w:t xml:space="preserve"> προσθήκη νέων και την αναβάθμιση υφιστάμενων Κλινικών και Μονάδων</w:t>
      </w:r>
      <w:r w:rsidR="00E10DA9">
        <w:rPr>
          <w:lang w:val="el-GR"/>
        </w:rPr>
        <w:t xml:space="preserve">, </w:t>
      </w:r>
      <w:r>
        <w:rPr>
          <w:lang w:val="el-GR"/>
        </w:rPr>
        <w:t>τον εκσυγχρονισμό των Τμημάτων Επειγόντων Περιστατικών</w:t>
      </w:r>
      <w:r w:rsidR="00E10DA9">
        <w:rPr>
          <w:lang w:val="el-GR"/>
        </w:rPr>
        <w:t xml:space="preserve"> στα Νοσοκομεία και την ενεργειακή και λειτουργική αναβάθμιση των υποδομών των Κέντρων Υγείας και των </w:t>
      </w:r>
      <w:r w:rsidR="00032C80">
        <w:rPr>
          <w:lang w:val="el-GR"/>
        </w:rPr>
        <w:t>ΠΠΙ</w:t>
      </w:r>
      <w:r w:rsidR="00E10DA9">
        <w:rPr>
          <w:lang w:val="el-GR"/>
        </w:rPr>
        <w:t xml:space="preserve">. </w:t>
      </w:r>
      <w:r w:rsidR="00BF39EA">
        <w:rPr>
          <w:lang w:val="el-GR"/>
        </w:rPr>
        <w:t xml:space="preserve">Πρόκειται για παρεμβάσεις με έντονο κοινωνικό, περιβαλλοντικό και οικονομικό αποτύπωμα, δεδομένου ότι θα συμβάλλουν </w:t>
      </w:r>
      <w:r w:rsidR="002962CA">
        <w:rPr>
          <w:lang w:val="el-GR"/>
        </w:rPr>
        <w:t xml:space="preserve">στη ριζική αναμόρφωση των υποδομών του Εθνικού Συστήματος Υγείας, </w:t>
      </w:r>
      <w:r w:rsidR="0073113F">
        <w:rPr>
          <w:lang w:val="el-GR"/>
        </w:rPr>
        <w:t>προς όφελος των πολιτών</w:t>
      </w:r>
      <w:r w:rsidR="00652B14">
        <w:rPr>
          <w:lang w:val="el-GR"/>
        </w:rPr>
        <w:t xml:space="preserve"> και </w:t>
      </w:r>
      <w:r w:rsidR="0073113F">
        <w:rPr>
          <w:lang w:val="el-GR"/>
        </w:rPr>
        <w:t>της εθνικής οικονομίας με τη δημιουργία νέων θέσεων εργασίας</w:t>
      </w:r>
      <w:r w:rsidR="00652B14">
        <w:rPr>
          <w:lang w:val="el-GR"/>
        </w:rPr>
        <w:t xml:space="preserve">. Θα συμβάλλουν, επίσης, στην αντιμετώπιση των επιπτώσεων της κλιματικής κρίσης και της επίτευξης των εθνικών στόχων για τη μείωση των εκπομπών αερίων του θερμοκηπίου στο πλαίσιο της Ευρωπαϊκής Πράσινης Συμφωνίας, δεδομένου ότι </w:t>
      </w:r>
      <w:r w:rsidR="00410EDC">
        <w:rPr>
          <w:lang w:val="el-GR"/>
        </w:rPr>
        <w:t xml:space="preserve">μεγάλος αριθμός Μονάδων Υγείας θα αναβαθμιστεί ενεργειακά. </w:t>
      </w:r>
    </w:p>
    <w:p w14:paraId="1A4D9DDA" w14:textId="61C86CC1" w:rsidR="00CB12F4" w:rsidRDefault="00CB12F4" w:rsidP="00263D96">
      <w:pPr>
        <w:spacing w:line="240" w:lineRule="auto"/>
        <w:jc w:val="both"/>
        <w:rPr>
          <w:noProof/>
          <w:lang w:val="el-GR"/>
        </w:rPr>
      </w:pPr>
      <w:r>
        <w:rPr>
          <w:lang w:val="el-GR"/>
        </w:rPr>
        <w:t>Τα έργα</w:t>
      </w:r>
      <w:r w:rsidR="0087655A">
        <w:rPr>
          <w:lang w:val="el-GR"/>
        </w:rPr>
        <w:t xml:space="preserve"> είναι </w:t>
      </w:r>
      <w:r w:rsidR="00281972">
        <w:rPr>
          <w:lang w:val="el-GR"/>
        </w:rPr>
        <w:t xml:space="preserve">ενταγμένα στο Εθνικό Σχέδιο Ανάκαμψης και Ανθεκτικότητας «Ελλάδα 2.0» και χρηματοδοτούνται από </w:t>
      </w:r>
      <w:r w:rsidR="0068074E">
        <w:rPr>
          <w:lang w:val="el-GR"/>
        </w:rPr>
        <w:t>την</w:t>
      </w:r>
      <w:r w:rsidR="003B0CAA">
        <w:rPr>
          <w:lang w:val="el-GR"/>
        </w:rPr>
        <w:t xml:space="preserve"> </w:t>
      </w:r>
      <w:r w:rsidR="003B0CAA" w:rsidRPr="00125AEC">
        <w:rPr>
          <w:noProof/>
          <w:lang w:val="el-GR"/>
        </w:rPr>
        <w:t xml:space="preserve">ΕΕ </w:t>
      </w:r>
      <w:r w:rsidR="003B0CAA">
        <w:rPr>
          <w:noProof/>
          <w:lang w:val="el-GR"/>
        </w:rPr>
        <w:t>–</w:t>
      </w:r>
      <w:r w:rsidR="003B0CAA" w:rsidRPr="00125AEC">
        <w:rPr>
          <w:noProof/>
          <w:lang w:val="el-GR"/>
        </w:rPr>
        <w:t xml:space="preserve"> NextGenerationEU</w:t>
      </w:r>
      <w:r w:rsidR="0068074E">
        <w:rPr>
          <w:noProof/>
          <w:lang w:val="el-GR"/>
        </w:rPr>
        <w:t xml:space="preserve">. </w:t>
      </w:r>
    </w:p>
    <w:p w14:paraId="02F3656F" w14:textId="77777777" w:rsidR="0068074E" w:rsidRDefault="0068074E" w:rsidP="00263D96">
      <w:pPr>
        <w:spacing w:line="240" w:lineRule="auto"/>
        <w:jc w:val="both"/>
        <w:rPr>
          <w:noProof/>
          <w:lang w:val="el-GR"/>
        </w:rPr>
      </w:pPr>
    </w:p>
    <w:p w14:paraId="071DA0E6" w14:textId="77777777" w:rsidR="00D23831" w:rsidRPr="0078282A" w:rsidRDefault="00D23831" w:rsidP="00263D96">
      <w:pPr>
        <w:shd w:val="clear" w:color="auto" w:fill="FFFFFF"/>
        <w:spacing w:after="100" w:afterAutospacing="1" w:line="240" w:lineRule="auto"/>
        <w:rPr>
          <w:rFonts w:eastAsia="Times New Roman" w:cs="Calibri"/>
          <w:lang w:val="el-GR"/>
        </w:rPr>
      </w:pPr>
    </w:p>
    <w:p w14:paraId="57E9C09B" w14:textId="77777777" w:rsidR="00263D96" w:rsidRDefault="00263D96" w:rsidP="00263D96">
      <w:pPr>
        <w:spacing w:before="240" w:after="120" w:line="240" w:lineRule="auto"/>
        <w:jc w:val="both"/>
        <w:rPr>
          <w:rFonts w:cstheme="minorHAnsi"/>
          <w:color w:val="000000"/>
          <w:sz w:val="20"/>
          <w:szCs w:val="20"/>
          <w:lang w:val="el-GR"/>
        </w:rPr>
      </w:pPr>
    </w:p>
    <w:p w14:paraId="16B251A1" w14:textId="4424EECB" w:rsidR="00D23831" w:rsidRPr="00D23831" w:rsidRDefault="00D23831" w:rsidP="00263D96">
      <w:pPr>
        <w:spacing w:before="240" w:after="120" w:line="240" w:lineRule="auto"/>
        <w:jc w:val="both"/>
        <w:rPr>
          <w:rFonts w:cstheme="minorHAnsi"/>
          <w:b/>
          <w:bCs/>
          <w:color w:val="000000"/>
          <w:sz w:val="20"/>
          <w:szCs w:val="20"/>
          <w:lang w:val="el-GR"/>
        </w:rPr>
      </w:pPr>
      <w:r w:rsidRPr="00D23831">
        <w:rPr>
          <w:rFonts w:cstheme="minorHAnsi"/>
          <w:color w:val="000000"/>
          <w:sz w:val="20"/>
          <w:szCs w:val="20"/>
          <w:lang w:val="el-GR"/>
        </w:rPr>
        <w:lastRenderedPageBreak/>
        <w:t xml:space="preserve">Για περισσότερες πληροφορίες και ενημέρωση σχετικά με το ΤΑΙΠΕΔ, μπορείτε να ανατρέξετε στην </w:t>
      </w:r>
      <w:hyperlink r:id="rId5" w:history="1">
        <w:r w:rsidRPr="00D23831">
          <w:rPr>
            <w:rStyle w:val="Hyperlink"/>
            <w:rFonts w:cstheme="minorHAnsi"/>
            <w:sz w:val="20"/>
            <w:szCs w:val="20"/>
            <w:lang w:val="el-GR"/>
          </w:rPr>
          <w:t>ιστοσελίδα</w:t>
        </w:r>
      </w:hyperlink>
      <w:r w:rsidRPr="00D23831">
        <w:rPr>
          <w:rFonts w:cstheme="minorHAnsi"/>
          <w:color w:val="000000"/>
          <w:sz w:val="20"/>
          <w:szCs w:val="20"/>
          <w:lang w:val="el-GR"/>
        </w:rPr>
        <w:t xml:space="preserve"> του Ταμείου.</w:t>
      </w:r>
    </w:p>
    <w:p w14:paraId="0FB60EE9" w14:textId="0D8D4A2B" w:rsidR="0073113F" w:rsidRDefault="00D23831" w:rsidP="00263D96">
      <w:pPr>
        <w:pStyle w:val="Footer"/>
        <w:jc w:val="both"/>
        <w:rPr>
          <w:bCs/>
          <w:sz w:val="20"/>
          <w:szCs w:val="20"/>
          <w:lang w:eastAsia="en-US"/>
        </w:rPr>
      </w:pPr>
      <w:r>
        <w:rPr>
          <w:rFonts w:asciiTheme="minorHAnsi" w:hAnsiTheme="minorHAnsi" w:cs="Segoe UI"/>
          <w:b/>
          <w:bCs/>
          <w:color w:val="000000" w:themeColor="text1"/>
          <w:sz w:val="20"/>
          <w:szCs w:val="20"/>
        </w:rPr>
        <w:t>Πληροφορίες για δημοσιογράφους</w:t>
      </w:r>
      <w:r>
        <w:rPr>
          <w:rFonts w:asciiTheme="minorHAnsi" w:hAnsiTheme="minorHAnsi" w:cs="Segoe UI"/>
          <w:color w:val="000000" w:themeColor="text1"/>
          <w:sz w:val="20"/>
          <w:szCs w:val="20"/>
        </w:rPr>
        <w:t xml:space="preserve">: Αχιλλέας Τόπας, Τηλέφωνο επικοινωνίας +30 6944902085, </w:t>
      </w:r>
      <w:r>
        <w:rPr>
          <w:rFonts w:asciiTheme="minorHAnsi" w:hAnsiTheme="minorHAnsi" w:cs="Segoe UI"/>
          <w:color w:val="000000" w:themeColor="text1"/>
          <w:sz w:val="20"/>
          <w:szCs w:val="20"/>
          <w:lang w:val="en-US"/>
        </w:rPr>
        <w:t>Email</w:t>
      </w:r>
      <w:r>
        <w:rPr>
          <w:rFonts w:asciiTheme="minorHAnsi" w:hAnsiTheme="minorHAnsi" w:cs="Segoe UI"/>
          <w:color w:val="000000" w:themeColor="text1"/>
          <w:sz w:val="20"/>
          <w:szCs w:val="20"/>
        </w:rPr>
        <w:t xml:space="preserve"> </w:t>
      </w:r>
      <w:hyperlink r:id="rId6" w:history="1">
        <w:r>
          <w:rPr>
            <w:rStyle w:val="Hyperlink"/>
            <w:rFonts w:asciiTheme="minorHAnsi" w:hAnsiTheme="minorHAnsi"/>
            <w:sz w:val="20"/>
            <w:szCs w:val="20"/>
            <w:lang w:val="en-US"/>
          </w:rPr>
          <w:t>press</w:t>
        </w:r>
        <w:r>
          <w:rPr>
            <w:rStyle w:val="Hyperlink"/>
            <w:rFonts w:asciiTheme="minorHAnsi" w:hAnsiTheme="minorHAnsi"/>
            <w:sz w:val="20"/>
            <w:szCs w:val="20"/>
          </w:rPr>
          <w:t>@</w:t>
        </w:r>
        <w:r>
          <w:rPr>
            <w:rStyle w:val="Hyperlink"/>
            <w:rFonts w:asciiTheme="minorHAnsi" w:hAnsiTheme="minorHAnsi"/>
            <w:sz w:val="20"/>
            <w:szCs w:val="20"/>
            <w:lang w:val="en-US"/>
          </w:rPr>
          <w:t>hraf</w:t>
        </w:r>
        <w:r>
          <w:rPr>
            <w:rStyle w:val="Hyperlink"/>
            <w:rFonts w:asciiTheme="minorHAnsi" w:hAnsiTheme="minorHAnsi"/>
            <w:sz w:val="20"/>
            <w:szCs w:val="20"/>
          </w:rPr>
          <w:t>.</w:t>
        </w:r>
        <w:r>
          <w:rPr>
            <w:rStyle w:val="Hyperlink"/>
            <w:rFonts w:asciiTheme="minorHAnsi" w:hAnsiTheme="minorHAnsi"/>
            <w:sz w:val="20"/>
            <w:szCs w:val="20"/>
            <w:lang w:val="en-US"/>
          </w:rPr>
          <w:t>gr</w:t>
        </w:r>
      </w:hyperlink>
      <w:r>
        <w:rPr>
          <w:rFonts w:asciiTheme="minorHAnsi" w:hAnsiTheme="minorHAnsi" w:cs="Segoe UI"/>
          <w:color w:val="000000" w:themeColor="text1"/>
          <w:sz w:val="20"/>
          <w:szCs w:val="20"/>
        </w:rPr>
        <w:t xml:space="preserve"> &amp; </w:t>
      </w:r>
      <w:r>
        <w:rPr>
          <w:rStyle w:val="Hyperlink"/>
          <w:rFonts w:asciiTheme="minorHAnsi" w:hAnsiTheme="minorHAnsi"/>
          <w:sz w:val="20"/>
          <w:szCs w:val="20"/>
          <w:lang w:val="en-US"/>
        </w:rPr>
        <w:t>atopas</w:t>
      </w:r>
      <w:r>
        <w:rPr>
          <w:rStyle w:val="Hyperlink"/>
          <w:rFonts w:asciiTheme="minorHAnsi" w:hAnsiTheme="minorHAnsi"/>
          <w:sz w:val="20"/>
          <w:szCs w:val="20"/>
        </w:rPr>
        <w:t>@</w:t>
      </w:r>
      <w:r>
        <w:rPr>
          <w:rStyle w:val="Hyperlink"/>
          <w:rFonts w:asciiTheme="minorHAnsi" w:hAnsiTheme="minorHAnsi"/>
          <w:sz w:val="20"/>
          <w:szCs w:val="20"/>
          <w:lang w:val="en-US"/>
        </w:rPr>
        <w:t>hraf</w:t>
      </w:r>
      <w:r>
        <w:rPr>
          <w:rStyle w:val="Hyperlink"/>
          <w:rFonts w:asciiTheme="minorHAnsi" w:hAnsiTheme="minorHAnsi"/>
          <w:sz w:val="20"/>
          <w:szCs w:val="20"/>
        </w:rPr>
        <w:t>.</w:t>
      </w:r>
      <w:r>
        <w:rPr>
          <w:rStyle w:val="Hyperlink"/>
          <w:rFonts w:asciiTheme="minorHAnsi" w:hAnsiTheme="minorHAnsi"/>
          <w:sz w:val="20"/>
          <w:szCs w:val="20"/>
          <w:lang w:val="en-US"/>
        </w:rPr>
        <w:t>gr</w:t>
      </w:r>
      <w:r>
        <w:rPr>
          <w:bCs/>
          <w:sz w:val="20"/>
          <w:szCs w:val="20"/>
          <w:lang w:eastAsia="en-US"/>
        </w:rPr>
        <w:t xml:space="preserve"> </w:t>
      </w:r>
    </w:p>
    <w:p w14:paraId="57B186E7" w14:textId="77777777" w:rsidR="00233A24" w:rsidRDefault="00233A24" w:rsidP="00D23831">
      <w:pPr>
        <w:pStyle w:val="Footer"/>
        <w:jc w:val="both"/>
        <w:rPr>
          <w:bCs/>
          <w:sz w:val="20"/>
          <w:szCs w:val="20"/>
          <w:lang w:eastAsia="en-US"/>
        </w:rPr>
      </w:pPr>
    </w:p>
    <w:p w14:paraId="794C7ECD" w14:textId="77777777" w:rsidR="00233A24" w:rsidRDefault="00233A24" w:rsidP="00D23831">
      <w:pPr>
        <w:pStyle w:val="Footer"/>
        <w:jc w:val="both"/>
        <w:rPr>
          <w:bCs/>
          <w:sz w:val="20"/>
          <w:szCs w:val="20"/>
          <w:lang w:eastAsia="en-US"/>
        </w:rPr>
      </w:pPr>
    </w:p>
    <w:p w14:paraId="4E890314" w14:textId="477D4BD8" w:rsidR="00233A24" w:rsidRPr="00DE04E1" w:rsidRDefault="00233A24" w:rsidP="00D23831">
      <w:pPr>
        <w:pStyle w:val="Footer"/>
        <w:jc w:val="both"/>
      </w:pPr>
      <w:r>
        <w:rPr>
          <w:noProof/>
        </w:rPr>
        <w:drawing>
          <wp:inline distT="0" distB="0" distL="0" distR="0" wp14:anchorId="2CD372AA" wp14:editId="2C655652">
            <wp:extent cx="5943600" cy="789940"/>
            <wp:effectExtent l="0" t="0" r="0" b="0"/>
            <wp:docPr id="1100115325"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15325" name="Picture 1" descr="A close-up of a logo&#10;&#10;Description automatically generated with low confidence"/>
                    <pic:cNvPicPr/>
                  </pic:nvPicPr>
                  <pic:blipFill>
                    <a:blip r:embed="rId7"/>
                    <a:stretch>
                      <a:fillRect/>
                    </a:stretch>
                  </pic:blipFill>
                  <pic:spPr>
                    <a:xfrm>
                      <a:off x="0" y="0"/>
                      <a:ext cx="5943600" cy="789940"/>
                    </a:xfrm>
                    <a:prstGeom prst="rect">
                      <a:avLst/>
                    </a:prstGeom>
                  </pic:spPr>
                </pic:pic>
              </a:graphicData>
            </a:graphic>
          </wp:inline>
        </w:drawing>
      </w:r>
    </w:p>
    <w:sectPr w:rsidR="00233A24" w:rsidRPr="00DE04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FC"/>
    <w:rsid w:val="00032C80"/>
    <w:rsid w:val="00066AED"/>
    <w:rsid w:val="000F0D1F"/>
    <w:rsid w:val="001005B9"/>
    <w:rsid w:val="001671B5"/>
    <w:rsid w:val="00192377"/>
    <w:rsid w:val="001E126B"/>
    <w:rsid w:val="00233A24"/>
    <w:rsid w:val="00263D96"/>
    <w:rsid w:val="00281972"/>
    <w:rsid w:val="0028749D"/>
    <w:rsid w:val="002962CA"/>
    <w:rsid w:val="003733AD"/>
    <w:rsid w:val="003B0CAA"/>
    <w:rsid w:val="00410EDC"/>
    <w:rsid w:val="004E1059"/>
    <w:rsid w:val="005F495F"/>
    <w:rsid w:val="00652B14"/>
    <w:rsid w:val="0068074E"/>
    <w:rsid w:val="007255F7"/>
    <w:rsid w:val="0073113F"/>
    <w:rsid w:val="007530DC"/>
    <w:rsid w:val="0078282A"/>
    <w:rsid w:val="007C67E2"/>
    <w:rsid w:val="0087655A"/>
    <w:rsid w:val="008963E4"/>
    <w:rsid w:val="008A5796"/>
    <w:rsid w:val="0093006C"/>
    <w:rsid w:val="009B13DC"/>
    <w:rsid w:val="009B3CE3"/>
    <w:rsid w:val="009B70CB"/>
    <w:rsid w:val="00A6542A"/>
    <w:rsid w:val="00A97A73"/>
    <w:rsid w:val="00AA32B7"/>
    <w:rsid w:val="00AA381B"/>
    <w:rsid w:val="00BA54E8"/>
    <w:rsid w:val="00BF39EA"/>
    <w:rsid w:val="00BF77D2"/>
    <w:rsid w:val="00BF7FBD"/>
    <w:rsid w:val="00C329BA"/>
    <w:rsid w:val="00CB12F4"/>
    <w:rsid w:val="00D234FC"/>
    <w:rsid w:val="00D23831"/>
    <w:rsid w:val="00D4372A"/>
    <w:rsid w:val="00DE04E1"/>
    <w:rsid w:val="00E0201A"/>
    <w:rsid w:val="00E10DA9"/>
    <w:rsid w:val="00E60803"/>
    <w:rsid w:val="00F849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56BB4"/>
  <w15:chartTrackingRefBased/>
  <w15:docId w15:val="{C90F989F-44F4-4474-9893-D95E222D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3831"/>
    <w:pPr>
      <w:tabs>
        <w:tab w:val="center" w:pos="4153"/>
        <w:tab w:val="right" w:pos="8306"/>
      </w:tabs>
      <w:spacing w:after="0" w:line="240" w:lineRule="auto"/>
    </w:pPr>
    <w:rPr>
      <w:rFonts w:ascii="Calibri" w:eastAsia="Calibri" w:hAnsi="Calibri" w:cs="Times New Roman"/>
      <w:kern w:val="0"/>
      <w:lang w:val="el-GR" w:eastAsia="el-GR" w:bidi="ar-SA"/>
      <w14:ligatures w14:val="none"/>
    </w:rPr>
  </w:style>
  <w:style w:type="character" w:customStyle="1" w:styleId="FooterChar">
    <w:name w:val="Footer Char"/>
    <w:basedOn w:val="DefaultParagraphFont"/>
    <w:link w:val="Footer"/>
    <w:uiPriority w:val="99"/>
    <w:rsid w:val="00D23831"/>
    <w:rPr>
      <w:rFonts w:ascii="Calibri" w:eastAsia="Calibri" w:hAnsi="Calibri" w:cs="Times New Roman"/>
      <w:kern w:val="0"/>
      <w:lang w:val="el-GR" w:eastAsia="el-GR" w:bidi="ar-SA"/>
      <w14:ligatures w14:val="none"/>
    </w:rPr>
  </w:style>
  <w:style w:type="character" w:styleId="Hyperlink">
    <w:name w:val="Hyperlink"/>
    <w:rsid w:val="00D238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hraf.gr" TargetMode="External"/><Relationship Id="rId5" Type="http://schemas.openxmlformats.org/officeDocument/2006/relationships/hyperlink" Target="http://www.hradf.com/"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Achilleas Topas</dc:creator>
  <cp:keywords/>
  <dc:description/>
  <cp:lastModifiedBy>Achilleas Topas</cp:lastModifiedBy>
  <cp:revision>2</cp:revision>
  <dcterms:created xsi:type="dcterms:W3CDTF">2023-05-29T10:52:00Z</dcterms:created>
  <dcterms:modified xsi:type="dcterms:W3CDTF">2023-05-29T10:52:00Z</dcterms:modified>
</cp:coreProperties>
</file>